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5DD2D" w14:textId="674B9BDC" w:rsidR="00A6102F" w:rsidRPr="00A6102F" w:rsidRDefault="00A6102F" w:rsidP="00A6102F">
      <w:pPr>
        <w:rPr>
          <w:b/>
          <w:bCs/>
        </w:rPr>
      </w:pPr>
      <w:r w:rsidRPr="00A6102F">
        <w:rPr>
          <w:b/>
          <w:bCs/>
          <w:highlight w:val="yellow"/>
        </w:rPr>
        <w:t>Competencia de instrucción y verificación del Ministerio</w:t>
      </w:r>
    </w:p>
    <w:p w14:paraId="58452AB2" w14:textId="78986489" w:rsidR="00A6102F" w:rsidRPr="00A6102F" w:rsidRDefault="00A6102F" w:rsidP="00A6102F">
      <w:r w:rsidRPr="00A6102F">
        <w:t>La fijación tarifaria no es una actividad meramente mecánica o aritmética. Corresponde al Ministerio determinar una tarifa ajustada al marco regulatorio y sustentada en información verificable.</w:t>
      </w:r>
    </w:p>
    <w:p w14:paraId="7083DAC8" w14:textId="77777777" w:rsidR="00A6102F" w:rsidRPr="00A6102F" w:rsidRDefault="00A6102F" w:rsidP="00A6102F">
      <w:r w:rsidRPr="00A6102F">
        <w:t>Por tanto, puede sostenerse que:</w:t>
      </w:r>
    </w:p>
    <w:p w14:paraId="0D6D2EFC" w14:textId="77777777" w:rsidR="00A6102F" w:rsidRPr="00A6102F" w:rsidRDefault="00A6102F" w:rsidP="00A6102F">
      <w:pPr>
        <w:numPr>
          <w:ilvl w:val="0"/>
          <w:numId w:val="1"/>
        </w:numPr>
      </w:pPr>
      <w:r w:rsidRPr="00A6102F">
        <w:t xml:space="preserve">La facultad de fijar tarifas implica necesariamente la facultad de requerir los soportes necesarios para verificar la información suministrada por el transportador. </w:t>
      </w:r>
    </w:p>
    <w:p w14:paraId="30B024A2" w14:textId="77777777" w:rsidR="00A6102F" w:rsidRPr="00A6102F" w:rsidRDefault="00A6102F" w:rsidP="00A6102F">
      <w:pPr>
        <w:numPr>
          <w:ilvl w:val="0"/>
          <w:numId w:val="1"/>
        </w:numPr>
      </w:pPr>
      <w:r w:rsidRPr="00A6102F">
        <w:t xml:space="preserve">No basta con que OCENSA afirme que determinada información ya fue incorporada en un avalúo o informe técnico; la Administración debe contar con elementos que le permitan validar dicha afirmación. </w:t>
      </w:r>
    </w:p>
    <w:p w14:paraId="707A1F55" w14:textId="77777777" w:rsidR="00A6102F" w:rsidRPr="00A6102F" w:rsidRDefault="00A6102F" w:rsidP="00A6102F">
      <w:pPr>
        <w:numPr>
          <w:ilvl w:val="0"/>
          <w:numId w:val="1"/>
        </w:numPr>
      </w:pPr>
      <w:r w:rsidRPr="00A6102F">
        <w:t xml:space="preserve">La competencia para fijar tarifas comprende facultades implícitas de instrucción, verificación y contraste de la información aportada por el regulado. </w:t>
      </w:r>
    </w:p>
    <w:p w14:paraId="181100D5" w14:textId="77777777" w:rsidR="00A6102F" w:rsidRPr="00A6102F" w:rsidRDefault="00A6102F" w:rsidP="00A6102F">
      <w:r w:rsidRPr="00A6102F">
        <w:t>La Corte Constitucional y el Consejo de Estado han reconocido reiteradamente que las competencias administrativas incluyen aquellas facultades instrumentales necesarias para ejercer eficazmente la función asignada por la ley.</w:t>
      </w:r>
    </w:p>
    <w:p w14:paraId="794D440D" w14:textId="77777777" w:rsidR="00C74BCA" w:rsidRDefault="00C74BCA" w:rsidP="00A6102F">
      <w:pPr>
        <w:rPr>
          <w:b/>
          <w:bCs/>
          <w:highlight w:val="yellow"/>
        </w:rPr>
      </w:pPr>
    </w:p>
    <w:p w14:paraId="7542C7BF" w14:textId="682BF46F" w:rsidR="00C74BCA" w:rsidRPr="00C74BCA" w:rsidRDefault="00C74BCA" w:rsidP="00A6102F">
      <w:pPr>
        <w:rPr>
          <w:b/>
          <w:bCs/>
        </w:rPr>
      </w:pPr>
      <w:r w:rsidRPr="00C74BCA">
        <w:rPr>
          <w:b/>
          <w:bCs/>
          <w:highlight w:val="yellow"/>
        </w:rPr>
        <w:t>Diferenciar "información para calcular" de "información para verificar"</w:t>
      </w:r>
    </w:p>
    <w:p w14:paraId="01EBD0FC" w14:textId="77777777" w:rsidR="00C74BCA" w:rsidRPr="00C74BCA" w:rsidRDefault="00C74BCA" w:rsidP="00C74BCA">
      <w:r w:rsidRPr="00C74BCA">
        <w:t>OCENSA intenta equiparar ambos conceptos.</w:t>
      </w:r>
    </w:p>
    <w:p w14:paraId="4EBD0A78" w14:textId="77777777" w:rsidR="00C74BCA" w:rsidRPr="00C74BCA" w:rsidRDefault="00C74BCA" w:rsidP="00C74BCA">
      <w:r w:rsidRPr="00C74BCA">
        <w:t>Una respuesta sólida sería señalar que:</w:t>
      </w:r>
    </w:p>
    <w:p w14:paraId="45477CE8" w14:textId="77777777" w:rsidR="00C74BCA" w:rsidRPr="00C74BCA" w:rsidRDefault="00C74BCA" w:rsidP="00C74BCA">
      <w:pPr>
        <w:numPr>
          <w:ilvl w:val="0"/>
          <w:numId w:val="4"/>
        </w:numPr>
      </w:pPr>
      <w:r w:rsidRPr="00C74BCA">
        <w:t xml:space="preserve">El Ministerio no solicita la información únicamente para alimentar una fórmula tarifaria. </w:t>
      </w:r>
    </w:p>
    <w:p w14:paraId="628F9C8E" w14:textId="77777777" w:rsidR="00C74BCA" w:rsidRPr="00C74BCA" w:rsidRDefault="00C74BCA" w:rsidP="00C74BCA">
      <w:pPr>
        <w:numPr>
          <w:ilvl w:val="0"/>
          <w:numId w:val="4"/>
        </w:numPr>
      </w:pPr>
      <w:r w:rsidRPr="00C74BCA">
        <w:t xml:space="preserve">La requiere para verificar la consistencia, trazabilidad y razonabilidad de los valores incorporados dentro de las variables tarifarias. </w:t>
      </w:r>
    </w:p>
    <w:p w14:paraId="3A75F058" w14:textId="77777777" w:rsidR="00C74BCA" w:rsidRPr="00C74BCA" w:rsidRDefault="00C74BCA" w:rsidP="00C74BCA">
      <w:pPr>
        <w:numPr>
          <w:ilvl w:val="0"/>
          <w:numId w:val="4"/>
        </w:numPr>
      </w:pPr>
      <w:r w:rsidRPr="00C74BCA">
        <w:t xml:space="preserve">La información de respaldo permite comprobar que no existan duplicidades, activos previamente remunerados, errores de valoración o inclusiones improcedentes. </w:t>
      </w:r>
    </w:p>
    <w:p w14:paraId="59922401" w14:textId="77777777" w:rsidR="00C74BCA" w:rsidRPr="00C74BCA" w:rsidRDefault="00C74BCA" w:rsidP="00C74BCA">
      <w:r w:rsidRPr="00C74BCA">
        <w:t xml:space="preserve">Por ejemplo, respecto de las servidumbres, el Ministerio no necesariamente necesita cada escritura para efectuar el cálculo matemático de la tarifa, pero sí puede </w:t>
      </w:r>
      <w:r w:rsidRPr="00C74BCA">
        <w:lastRenderedPageBreak/>
        <w:t>requerirlas para verificar que el valor incorporado al avalúo corresponda a derechos efectivamente constituidos y atribuibles al sistema objeto de remuneración.</w:t>
      </w:r>
    </w:p>
    <w:p w14:paraId="7D9D1B87" w14:textId="77777777" w:rsidR="00C74BCA" w:rsidRDefault="00C74BCA" w:rsidP="00A6102F"/>
    <w:p w14:paraId="277601BC" w14:textId="77777777" w:rsidR="00C74BCA" w:rsidRDefault="00C74BCA" w:rsidP="00A6102F"/>
    <w:p w14:paraId="6891AF46" w14:textId="77777777" w:rsidR="00C74BCA" w:rsidRDefault="00C74BCA" w:rsidP="00A6102F"/>
    <w:p w14:paraId="263046CA" w14:textId="77777777" w:rsidR="00C74BCA" w:rsidRDefault="00C74BCA" w:rsidP="00A6102F"/>
    <w:p w14:paraId="45B4FE01" w14:textId="57DA897E" w:rsidR="00A6102F" w:rsidRPr="00A6102F" w:rsidRDefault="00A6102F" w:rsidP="00A6102F">
      <w:pPr>
        <w:rPr>
          <w:b/>
          <w:bCs/>
        </w:rPr>
      </w:pPr>
      <w:r w:rsidRPr="00A6102F">
        <w:rPr>
          <w:b/>
          <w:bCs/>
          <w:highlight w:val="yellow"/>
        </w:rPr>
        <w:t>Carga de la prueba de quien pretende remuneración tarifaria</w:t>
      </w:r>
    </w:p>
    <w:p w14:paraId="4B81515E" w14:textId="77777777" w:rsidR="00A6102F" w:rsidRPr="00A6102F" w:rsidRDefault="00A6102F" w:rsidP="00A6102F">
      <w:r w:rsidRPr="00A6102F">
        <w:t>OCENSA está solicitando el reconocimiento tarifario de determinados activos y valores.</w:t>
      </w:r>
    </w:p>
    <w:p w14:paraId="3B1B574B" w14:textId="77777777" w:rsidR="00A6102F" w:rsidRPr="00A6102F" w:rsidRDefault="00A6102F" w:rsidP="00A6102F">
      <w:r w:rsidRPr="00A6102F">
        <w:t>Puede argumentarse que:</w:t>
      </w:r>
    </w:p>
    <w:p w14:paraId="22F0B16A" w14:textId="77777777" w:rsidR="00A6102F" w:rsidRPr="00A6102F" w:rsidRDefault="00A6102F" w:rsidP="00A6102F">
      <w:pPr>
        <w:numPr>
          <w:ilvl w:val="0"/>
          <w:numId w:val="2"/>
        </w:numPr>
      </w:pPr>
      <w:r w:rsidRPr="00A6102F">
        <w:t xml:space="preserve">Quien pretende que un valor sea reconocido dentro de la tarifa tiene la carga de acreditar plenamente su existencia, titularidad, cuantía y procedencia. </w:t>
      </w:r>
    </w:p>
    <w:p w14:paraId="06D2E8D5" w14:textId="77777777" w:rsidR="00A6102F" w:rsidRPr="00A6102F" w:rsidRDefault="00A6102F" w:rsidP="00A6102F">
      <w:pPr>
        <w:numPr>
          <w:ilvl w:val="0"/>
          <w:numId w:val="2"/>
        </w:numPr>
      </w:pPr>
      <w:r w:rsidRPr="00A6102F">
        <w:t xml:space="preserve">El Ministerio no está obligado a aceptar sin verificación los resultados de un informe elaborado por un tercero contratado por el propio transportador. </w:t>
      </w:r>
    </w:p>
    <w:p w14:paraId="643AE521" w14:textId="77777777" w:rsidR="00A6102F" w:rsidRPr="00A6102F" w:rsidRDefault="00A6102F" w:rsidP="00A6102F">
      <w:pPr>
        <w:numPr>
          <w:ilvl w:val="0"/>
          <w:numId w:val="2"/>
        </w:numPr>
      </w:pPr>
      <w:r w:rsidRPr="00A6102F">
        <w:t>El avalúo constituye un insumo técnico, pero no sustituye la facultad de evaluación y comprobación de la autoridad competente.</w:t>
      </w:r>
    </w:p>
    <w:p w14:paraId="03312BFD" w14:textId="77777777" w:rsidR="00A6102F" w:rsidRDefault="00A6102F" w:rsidP="00A6102F"/>
    <w:p w14:paraId="60EA6D60" w14:textId="77777777" w:rsidR="00A6102F" w:rsidRDefault="00A6102F" w:rsidP="00A6102F"/>
    <w:p w14:paraId="7C49E17A" w14:textId="77777777" w:rsidR="00A6102F" w:rsidRDefault="00A6102F" w:rsidP="00A6102F"/>
    <w:p w14:paraId="19D9BC9A" w14:textId="77777777" w:rsidR="00A6102F" w:rsidRDefault="00A6102F" w:rsidP="00A6102F"/>
    <w:p w14:paraId="18391CF7" w14:textId="395C0287" w:rsidR="00A6102F" w:rsidRPr="00A6102F" w:rsidRDefault="00A6102F" w:rsidP="00A6102F">
      <w:r w:rsidRPr="00A6102F">
        <w:t>La solicitud de certificaciones suscritas por representante legal, contador y revisor fiscal es razonable porque:</w:t>
      </w:r>
    </w:p>
    <w:p w14:paraId="6218F4F6" w14:textId="77777777" w:rsidR="00A6102F" w:rsidRPr="00A6102F" w:rsidRDefault="00A6102F" w:rsidP="00A6102F">
      <w:pPr>
        <w:numPr>
          <w:ilvl w:val="0"/>
          <w:numId w:val="3"/>
        </w:numPr>
      </w:pPr>
      <w:r w:rsidRPr="00A6102F">
        <w:t xml:space="preserve">Busca otorgar trazabilidad y responsabilidad sobre la información entregada. </w:t>
      </w:r>
    </w:p>
    <w:p w14:paraId="727A7B46" w14:textId="77777777" w:rsidR="00A6102F" w:rsidRPr="00A6102F" w:rsidRDefault="00A6102F" w:rsidP="00A6102F">
      <w:pPr>
        <w:numPr>
          <w:ilvl w:val="0"/>
          <w:numId w:val="3"/>
        </w:numPr>
      </w:pPr>
      <w:r w:rsidRPr="00A6102F">
        <w:t xml:space="preserve">Constituye una práctica habitual en procedimientos regulatorios, financieros y tributarios. </w:t>
      </w:r>
    </w:p>
    <w:p w14:paraId="5FD81A93" w14:textId="77777777" w:rsidR="00A6102F" w:rsidRPr="00A6102F" w:rsidRDefault="00A6102F" w:rsidP="00A6102F">
      <w:pPr>
        <w:numPr>
          <w:ilvl w:val="0"/>
          <w:numId w:val="3"/>
        </w:numPr>
      </w:pPr>
      <w:r w:rsidRPr="00A6102F">
        <w:t xml:space="preserve">El revisor fiscal es precisamente el órgano llamado a certificar la razonabilidad y correspondencia de determinada información financiera y contable. </w:t>
      </w:r>
    </w:p>
    <w:p w14:paraId="008053D8" w14:textId="77777777" w:rsidR="00A6102F" w:rsidRPr="00A6102F" w:rsidRDefault="00A6102F" w:rsidP="00A6102F">
      <w:r w:rsidRPr="00A6102F">
        <w:t>Puede sostenerse que:</w:t>
      </w:r>
    </w:p>
    <w:p w14:paraId="561D4229" w14:textId="77777777" w:rsidR="00A6102F" w:rsidRPr="00A6102F" w:rsidRDefault="00A6102F" w:rsidP="00A6102F">
      <w:r w:rsidRPr="00A6102F">
        <w:lastRenderedPageBreak/>
        <w:t>La solicitud de certificaciones por parte del revisor fiscal no constituye una exigencia adicional de fondo ni modifica la metodología tarifaria; simplemente establece un mecanismo de validación de la información suministrada a la autoridad administrativa.</w:t>
      </w:r>
    </w:p>
    <w:p w14:paraId="49DCDC02" w14:textId="77777777" w:rsidR="00A6102F" w:rsidRDefault="00A6102F" w:rsidP="00A6102F">
      <w:pPr>
        <w:pBdr>
          <w:bottom w:val="single" w:sz="12" w:space="1" w:color="auto"/>
        </w:pBdr>
      </w:pPr>
    </w:p>
    <w:p w14:paraId="703354DB" w14:textId="531446C1" w:rsidR="00C74BCA" w:rsidRDefault="00C74BCA" w:rsidP="00A6102F">
      <w:r>
        <w:t xml:space="preserve">En cuanto a las inversiones adicionales sobre los activos: </w:t>
      </w:r>
    </w:p>
    <w:p w14:paraId="1AD5B690" w14:textId="26B3AB21" w:rsidR="00C74BCA" w:rsidRDefault="00C74BCA" w:rsidP="00A6102F">
      <w:r>
        <w:t xml:space="preserve">Si la VUN </w:t>
      </w:r>
      <w:r w:rsidR="00181F95">
        <w:t xml:space="preserve">corresponde al limite temporal para recuperar las inversiones realizadas en diferentes periodos tarifarios, no corresponde el ANALISIS. </w:t>
      </w:r>
    </w:p>
    <w:p w14:paraId="3188BF07" w14:textId="5AC29A50" w:rsidR="00181F95" w:rsidRDefault="00181F95" w:rsidP="00A6102F">
      <w:r>
        <w:t>El VUN tiene un sentido practivo</w:t>
      </w:r>
    </w:p>
    <w:p w14:paraId="7AF6EF3D" w14:textId="31E153F8" w:rsidR="00181F95" w:rsidRDefault="00181F95" w:rsidP="00A6102F">
      <w:r>
        <w:t xml:space="preserve">Art 5: Refuerza idea que si no hay negociación, entre trsn y remi, el trasn debe remitir info completa al MME. </w:t>
      </w:r>
    </w:p>
    <w:p w14:paraId="7F8556C0" w14:textId="0CA29046" w:rsidR="00DD57A2" w:rsidRDefault="00DD57A2" w:rsidP="00A6102F">
      <w:r w:rsidRPr="00DD57A2">
        <w:rPr>
          <w:highlight w:val="green"/>
        </w:rPr>
        <w:t>la Dirección de Hidrocarburos revisará y fijará la tarifa de conformidad con la metodología existente en la Resolución número 72146 de 2014, así como en lo señalado en el Código de Petróleos, en aquellos aspectos en los que no hubo acuerdo</w:t>
      </w:r>
      <w:r>
        <w:t xml:space="preserve"> </w:t>
      </w:r>
      <w:r w:rsidRPr="00DD57A2">
        <w:rPr>
          <w:highlight w:val="yellow"/>
        </w:rPr>
        <w:t>+ Reglamento de transporte antiguo y nuevo.</w:t>
      </w:r>
      <w:r>
        <w:t xml:space="preserve"> </w:t>
      </w:r>
    </w:p>
    <w:p w14:paraId="3D5496A0" w14:textId="2F7858B2" w:rsidR="00DD57A2" w:rsidRDefault="00181F95" w:rsidP="00A6102F">
      <w:r>
        <w:t>Art 7</w:t>
      </w:r>
      <w:r w:rsidR="00DD57A2">
        <w:t xml:space="preserve">: De aquí menciono el </w:t>
      </w:r>
      <w:r w:rsidR="00DD57A2" w:rsidRPr="00DD57A2">
        <w:rPr>
          <w:i/>
          <w:iCs/>
        </w:rPr>
        <w:t>K </w:t>
      </w:r>
      <w:r w:rsidR="00DD57A2" w:rsidRPr="00DD57A2">
        <w:rPr>
          <w:b/>
          <w:bCs/>
        </w:rPr>
        <w:t>Ingreso anual reconocible por remuneración al capital</w:t>
      </w:r>
    </w:p>
    <w:p w14:paraId="3B0CA300" w14:textId="64F589BC" w:rsidR="00181F95" w:rsidRDefault="00DD57A2" w:rsidP="00A6102F">
      <w:r w:rsidRPr="00DD57A2">
        <w:rPr>
          <w:i/>
          <w:iCs/>
        </w:rPr>
        <w:t>Se considera como parte de este ítem, todo el conjunto de erogaciones que quede representada en un activo o haga parte de éste, produciendo el mejoramiento de su confiabilidad, el incremento de su vida útil, o el aumento de la capacidad de diseño, este último únicamente para el caso de los trayectos ampliados cuando la tarifa de estos no se fije en el contrato de transporte respectivo</w:t>
      </w:r>
      <w:r w:rsidRPr="00DD57A2">
        <w:t>.</w:t>
      </w:r>
    </w:p>
    <w:p w14:paraId="22DE35F9" w14:textId="3CD48B9F" w:rsidR="00181F95" w:rsidRDefault="00DD57A2" w:rsidP="00A6102F">
      <w:r>
        <w:t xml:space="preserve">Por que aquí considero todas nversiones </w:t>
      </w:r>
    </w:p>
    <w:p w14:paraId="414ADC0D" w14:textId="410424C6" w:rsidR="00181F95" w:rsidRPr="00DD57A2" w:rsidRDefault="00181F95" w:rsidP="00A6102F">
      <w:pPr>
        <w:rPr>
          <w:b/>
          <w:bCs/>
        </w:rPr>
      </w:pPr>
      <w:r>
        <w:t xml:space="preserve">Art. 14. </w:t>
      </w:r>
      <w:r w:rsidR="00DD57A2" w:rsidRPr="00DD57A2">
        <w:rPr>
          <w:b/>
          <w:bCs/>
        </w:rPr>
        <w:t>INFORME ANUAL.</w:t>
      </w:r>
    </w:p>
    <w:p w14:paraId="272645FF" w14:textId="6D230AD6" w:rsidR="00181F95" w:rsidRDefault="00DD57A2" w:rsidP="00A6102F">
      <w:r>
        <w:t xml:space="preserve">#1 transportador debe remitir información de </w:t>
      </w:r>
      <w:r w:rsidRPr="00DD57A2">
        <w:t>Las inversiones de capital (I1) que el transportador haya realizado para: el aumento de la capacidad de diseño del trayecto, el mejoramiento de su confiabilidad, o el incremento de su vida útil.</w:t>
      </w:r>
    </w:p>
    <w:p w14:paraId="2D3ADC6C" w14:textId="73267611" w:rsidR="00DD57A2" w:rsidRDefault="00DD57A2" w:rsidP="00A6102F">
      <w:r>
        <w:t>En el informe anu</w:t>
      </w:r>
      <w:r w:rsidR="009B48A5">
        <w:t>al</w:t>
      </w:r>
      <w:r>
        <w:t xml:space="preserve"> se realizan </w:t>
      </w:r>
      <w:r w:rsidR="009B48A5">
        <w:t>las proyecciones</w:t>
      </w:r>
      <w:r>
        <w:t xml:space="preserve"> de inversión</w:t>
      </w:r>
      <w:r w:rsidR="009B48A5">
        <w:t xml:space="preserve">. </w:t>
      </w:r>
    </w:p>
    <w:p w14:paraId="25F19607" w14:textId="0B5EE83C" w:rsidR="009B48A5" w:rsidRDefault="009B48A5" w:rsidP="00A6102F">
      <w:r w:rsidRPr="009B48A5">
        <w:rPr>
          <w:highlight w:val="green"/>
        </w:rPr>
        <w:t>Ojo EN NINGUN PUNTO SE DICE Q CADA INVERSION TIENE EL MISMO PERIODO DE RECUPERACION QUE LA INVERSION INICIAL</w:t>
      </w:r>
      <w:r>
        <w:t xml:space="preserve"> </w:t>
      </w:r>
    </w:p>
    <w:p w14:paraId="06DE7B77" w14:textId="77777777" w:rsidR="00181F95" w:rsidRDefault="00181F95" w:rsidP="00A6102F"/>
    <w:p w14:paraId="7AB91364" w14:textId="77777777" w:rsidR="004E0BE3" w:rsidRDefault="004E0BE3" w:rsidP="00A6102F"/>
    <w:p w14:paraId="47ABA2E9" w14:textId="6E158AA5" w:rsidR="004E0BE3" w:rsidRDefault="004E0BE3" w:rsidP="00672E42">
      <w:pPr>
        <w:widowControl w:val="0"/>
        <w:spacing w:after="0" w:line="240" w:lineRule="auto"/>
      </w:pPr>
      <w:r>
        <w:lastRenderedPageBreak/>
        <w:t>Sanpatricio2026*</w:t>
      </w:r>
    </w:p>
    <w:p w14:paraId="49E657BC" w14:textId="77777777" w:rsidR="00672E42" w:rsidRPr="00A6102F" w:rsidRDefault="00672E42" w:rsidP="00A6102F"/>
    <w:sectPr w:rsidR="00672E42" w:rsidRPr="00A6102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853A0"/>
    <w:multiLevelType w:val="multilevel"/>
    <w:tmpl w:val="AC82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22512E"/>
    <w:multiLevelType w:val="multilevel"/>
    <w:tmpl w:val="2522F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843800"/>
    <w:multiLevelType w:val="multilevel"/>
    <w:tmpl w:val="5038E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BC15A4"/>
    <w:multiLevelType w:val="multilevel"/>
    <w:tmpl w:val="BB38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0572545">
    <w:abstractNumId w:val="1"/>
  </w:num>
  <w:num w:numId="2" w16cid:durableId="1035469946">
    <w:abstractNumId w:val="0"/>
  </w:num>
  <w:num w:numId="3" w16cid:durableId="1633562959">
    <w:abstractNumId w:val="3"/>
  </w:num>
  <w:num w:numId="4" w16cid:durableId="979309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2F"/>
    <w:rsid w:val="00181F95"/>
    <w:rsid w:val="001B075E"/>
    <w:rsid w:val="00203DDD"/>
    <w:rsid w:val="004E0BE3"/>
    <w:rsid w:val="00665BF4"/>
    <w:rsid w:val="00672E42"/>
    <w:rsid w:val="00972E59"/>
    <w:rsid w:val="009B48A5"/>
    <w:rsid w:val="00A6102F"/>
    <w:rsid w:val="00AB1CE7"/>
    <w:rsid w:val="00C74BCA"/>
    <w:rsid w:val="00D378F1"/>
    <w:rsid w:val="00DD57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0FF8E"/>
  <w15:chartTrackingRefBased/>
  <w15:docId w15:val="{608A587F-8BA5-496E-8EBE-28B6A8AE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610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610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6102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6102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6102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6102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6102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6102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6102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6102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6102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6102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6102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6102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6102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6102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6102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6102F"/>
    <w:rPr>
      <w:rFonts w:eastAsiaTheme="majorEastAsia" w:cstheme="majorBidi"/>
      <w:color w:val="272727" w:themeColor="text1" w:themeTint="D8"/>
    </w:rPr>
  </w:style>
  <w:style w:type="paragraph" w:styleId="Ttulo">
    <w:name w:val="Title"/>
    <w:basedOn w:val="Normal"/>
    <w:next w:val="Normal"/>
    <w:link w:val="TtuloCar"/>
    <w:uiPriority w:val="10"/>
    <w:qFormat/>
    <w:rsid w:val="00A610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6102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6102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6102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6102F"/>
    <w:pPr>
      <w:spacing w:before="160"/>
      <w:jc w:val="center"/>
    </w:pPr>
    <w:rPr>
      <w:i/>
      <w:iCs/>
      <w:color w:val="404040" w:themeColor="text1" w:themeTint="BF"/>
    </w:rPr>
  </w:style>
  <w:style w:type="character" w:customStyle="1" w:styleId="CitaCar">
    <w:name w:val="Cita Car"/>
    <w:basedOn w:val="Fuentedeprrafopredeter"/>
    <w:link w:val="Cita"/>
    <w:uiPriority w:val="29"/>
    <w:rsid w:val="00A6102F"/>
    <w:rPr>
      <w:i/>
      <w:iCs/>
      <w:color w:val="404040" w:themeColor="text1" w:themeTint="BF"/>
    </w:rPr>
  </w:style>
  <w:style w:type="paragraph" w:styleId="Prrafodelista">
    <w:name w:val="List Paragraph"/>
    <w:basedOn w:val="Normal"/>
    <w:uiPriority w:val="34"/>
    <w:qFormat/>
    <w:rsid w:val="00A6102F"/>
    <w:pPr>
      <w:ind w:left="720"/>
      <w:contextualSpacing/>
    </w:pPr>
  </w:style>
  <w:style w:type="character" w:styleId="nfasisintenso">
    <w:name w:val="Intense Emphasis"/>
    <w:basedOn w:val="Fuentedeprrafopredeter"/>
    <w:uiPriority w:val="21"/>
    <w:qFormat/>
    <w:rsid w:val="00A6102F"/>
    <w:rPr>
      <w:i/>
      <w:iCs/>
      <w:color w:val="0F4761" w:themeColor="accent1" w:themeShade="BF"/>
    </w:rPr>
  </w:style>
  <w:style w:type="paragraph" w:styleId="Citadestacada">
    <w:name w:val="Intense Quote"/>
    <w:basedOn w:val="Normal"/>
    <w:next w:val="Normal"/>
    <w:link w:val="CitadestacadaCar"/>
    <w:uiPriority w:val="30"/>
    <w:qFormat/>
    <w:rsid w:val="00A610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6102F"/>
    <w:rPr>
      <w:i/>
      <w:iCs/>
      <w:color w:val="0F4761" w:themeColor="accent1" w:themeShade="BF"/>
    </w:rPr>
  </w:style>
  <w:style w:type="character" w:styleId="Referenciaintensa">
    <w:name w:val="Intense Reference"/>
    <w:basedOn w:val="Fuentedeprrafopredeter"/>
    <w:uiPriority w:val="32"/>
    <w:qFormat/>
    <w:rsid w:val="00A6102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166</TotalTime>
  <Pages>4</Pages>
  <Words>742</Words>
  <Characters>4087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R. Gaviria Araque</dc:creator>
  <cp:keywords/>
  <dc:description/>
  <cp:lastModifiedBy>Cristian R. Gaviria Araque</cp:lastModifiedBy>
  <cp:revision>1</cp:revision>
  <dcterms:created xsi:type="dcterms:W3CDTF">2026-06-16T16:26:00Z</dcterms:created>
  <dcterms:modified xsi:type="dcterms:W3CDTF">2026-06-25T12:12:00Z</dcterms:modified>
</cp:coreProperties>
</file>